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Discussion Post Questions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Discussion Post Questions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Week 4</w:t>
      </w:r>
    </w:p>
    <w:p>
      <w:pPr>
        <w:pStyle w:val="style0"/>
        <w:spacing w:after="0" w:lineRule="auto" w:line="480"/>
        <w:ind w:left="360"/>
        <w:rPr>
          <w:rFonts w:ascii="Times New Roman" w:cs="Times New Roman" w:hAnsi="Times New Roman"/>
          <w:sz w:val="24"/>
          <w:szCs w:val="24"/>
        </w:rPr>
      </w:pPr>
      <w:r>
        <w:rPr>
          <w:rFonts w:ascii="Times New Roman" w:cs="Times New Roman" w:hAnsi="Times New Roman"/>
          <w:sz w:val="24"/>
          <w:szCs w:val="24"/>
        </w:rPr>
        <w:t>1.    Nutrition is important in the healthy-being of a person; however, the nutrition needed by the body depends on the age. Therefore, it is crucial to understand the nutritional needs of the body. Conversely, there are nutrients needed by the body regardless of the age. This is where there is the connection of nutrition and diet between a child an</w:t>
      </w:r>
      <w:r>
        <w:rPr>
          <w:rFonts w:ascii="Times New Roman" w:cs="Times New Roman" w:hAnsi="Times New Roman"/>
          <w:sz w:val="24"/>
          <w:szCs w:val="24"/>
        </w:rPr>
        <w:t xml:space="preserve">d senior citizens. </w:t>
      </w:r>
      <w:r>
        <w:rPr>
          <w:rFonts w:ascii="Times New Roman" w:cs="Times New Roman" w:hAnsi="Times New Roman"/>
          <w:sz w:val="24"/>
          <w:szCs w:val="24"/>
        </w:rPr>
        <w:t>According to Better Health Channel (2012), the</w:t>
      </w:r>
      <w:r>
        <w:rPr>
          <w:rFonts w:ascii="Times New Roman" w:cs="Times New Roman" w:hAnsi="Times New Roman"/>
          <w:sz w:val="24"/>
          <w:szCs w:val="24"/>
        </w:rPr>
        <w:t xml:space="preserve"> nutrients dense foods are</w:t>
      </w:r>
      <w:r>
        <w:rPr>
          <w:rFonts w:ascii="Times New Roman" w:cs="Times New Roman" w:hAnsi="Times New Roman"/>
          <w:sz w:val="24"/>
          <w:szCs w:val="24"/>
        </w:rPr>
        <w:t xml:space="preserve"> lean meat, fish, vegetables, legumes, whole grain bread, and fruits.</w:t>
      </w:r>
    </w:p>
    <w:p>
      <w:pPr>
        <w:pStyle w:val="style0"/>
        <w:spacing w:after="0" w:lineRule="auto" w:line="480"/>
        <w:ind w:left="360"/>
        <w:rPr>
          <w:rFonts w:ascii="Times New Roman" w:cs="Times New Roman" w:hAnsi="Times New Roman"/>
          <w:sz w:val="24"/>
          <w:szCs w:val="24"/>
        </w:rPr>
      </w:pPr>
      <w:r>
        <w:rPr>
          <w:rFonts w:ascii="Times New Roman" w:cs="Times New Roman" w:hAnsi="Times New Roman"/>
          <w:sz w:val="24"/>
          <w:szCs w:val="24"/>
        </w:rPr>
        <w:t>2.    Category A</w:t>
      </w:r>
    </w:p>
    <w:p>
      <w:pPr>
        <w:pStyle w:val="style0"/>
        <w:spacing w:after="0" w:lineRule="auto" w:line="480"/>
        <w:ind w:left="360"/>
        <w:rPr>
          <w:rFonts w:ascii="Times New Roman" w:cs="Times New Roman" w:hAnsi="Times New Roman"/>
          <w:sz w:val="24"/>
          <w:szCs w:val="24"/>
        </w:rPr>
      </w:pPr>
      <w:r>
        <w:rPr>
          <w:rFonts w:ascii="Times New Roman" w:cs="Times New Roman" w:hAnsi="Times New Roman"/>
          <w:sz w:val="24"/>
          <w:szCs w:val="24"/>
        </w:rPr>
        <w:t xml:space="preserve">Weight gain in pregnancy is a common phenomenon in pregnant women, but, the weight gained should not be more than 10-13kg. However, the weight gain should be evaluated on the pre-pregnancies. Therefore, in the case for Sarah, her extra weight gain is basically due to her first and second pregnancy weight gain. </w:t>
      </w:r>
    </w:p>
    <w:p>
      <w:pPr>
        <w:pStyle w:val="style0"/>
        <w:spacing w:after="0" w:lineRule="auto" w:line="480"/>
        <w:ind w:left="360"/>
        <w:rPr>
          <w:rFonts w:ascii="Times New Roman" w:cs="Times New Roman" w:hAnsi="Times New Roman"/>
          <w:sz w:val="24"/>
          <w:szCs w:val="24"/>
        </w:rPr>
      </w:pPr>
      <w:r>
        <w:rPr>
          <w:rFonts w:ascii="Times New Roman" w:cs="Times New Roman" w:hAnsi="Times New Roman"/>
          <w:sz w:val="24"/>
          <w:szCs w:val="24"/>
        </w:rPr>
        <w:t>Category B</w:t>
      </w:r>
    </w:p>
    <w:p>
      <w:pPr>
        <w:pStyle w:val="style0"/>
        <w:spacing w:after="0" w:lineRule="auto" w:line="480"/>
        <w:ind w:left="360"/>
        <w:rPr>
          <w:rFonts w:ascii="Times New Roman" w:cs="Times New Roman" w:hAnsi="Times New Roman"/>
          <w:sz w:val="24"/>
          <w:szCs w:val="24"/>
        </w:rPr>
      </w:pPr>
      <w:r>
        <w:rPr>
          <w:rFonts w:ascii="Times New Roman" w:cs="Times New Roman" w:hAnsi="Times New Roman"/>
          <w:sz w:val="24"/>
          <w:szCs w:val="24"/>
        </w:rPr>
        <w:t>Sarah should accept his increasing weight since the baby inside of her contributes a lot to her weight. Besides, Sarah should understand that weight gain in pregnancy is normal; hence, she should not subject her body to difficulties to lose the weight. However, she should think of losing her weight after giving birth. Breastfeeding is one strategy that helps to burn body fats. She should also focus on a balanced diet and eat vegetables early.</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Week 5</w:t>
      </w:r>
    </w:p>
    <w:p>
      <w:pPr>
        <w:pStyle w:val="style0"/>
        <w:spacing w:after="0" w:lineRule="auto" w:line="480"/>
        <w:ind w:left="360"/>
        <w:rPr>
          <w:rFonts w:ascii="Times New Roman" w:cs="Times New Roman" w:hAnsi="Times New Roman"/>
          <w:sz w:val="24"/>
          <w:szCs w:val="24"/>
        </w:rPr>
      </w:pPr>
      <w:r>
        <w:rPr>
          <w:rFonts w:ascii="Times New Roman" w:cs="Times New Roman" w:hAnsi="Times New Roman"/>
          <w:sz w:val="24"/>
          <w:szCs w:val="24"/>
        </w:rPr>
        <w:t xml:space="preserve">1.    I think that the decision of the doctors to use G-tube for feeding the baby was the best approach. This is considering that there are two main treatment approaches for feeding problem; the NG-tube and G-tube approach. Since the NG-tube approach failed, the G-tube </w:t>
      </w:r>
      <w:r>
        <w:rPr>
          <w:rFonts w:ascii="Times New Roman" w:cs="Times New Roman" w:hAnsi="Times New Roman"/>
          <w:sz w:val="24"/>
          <w:szCs w:val="24"/>
        </w:rPr>
        <w:t>became the option to save the baby’s life. Pro for using G-tube is that it is easy to hide under the clothes making the feeding private. However, G-tube may have complication since it involves surgery.</w:t>
      </w:r>
    </w:p>
    <w:p>
      <w:pPr>
        <w:pStyle w:val="style0"/>
        <w:spacing w:after="0" w:lineRule="auto" w:line="480"/>
        <w:ind w:left="360"/>
        <w:rPr>
          <w:rFonts w:ascii="Times New Roman" w:cs="Times New Roman" w:hAnsi="Times New Roman"/>
          <w:sz w:val="24"/>
          <w:szCs w:val="24"/>
        </w:rPr>
      </w:pPr>
      <w:r>
        <w:rPr>
          <w:rFonts w:ascii="Times New Roman" w:cs="Times New Roman" w:hAnsi="Times New Roman"/>
          <w:sz w:val="24"/>
          <w:szCs w:val="24"/>
        </w:rPr>
        <w:t xml:space="preserve">•    Dealing with the family and the patient using G-tube requires patience and tolerance. As a pediatrician, it would be my duty to ensure that the family has the appropriate knowledge about the method used for the baby. According to </w:t>
      </w:r>
      <w:r>
        <w:rPr>
          <w:rFonts w:ascii="Times New Roman" w:cs="Times New Roman" w:hAnsi="Times New Roman"/>
          <w:sz w:val="24"/>
          <w:szCs w:val="24"/>
        </w:rPr>
        <w:t>Krom</w:t>
      </w:r>
      <w:r>
        <w:rPr>
          <w:rFonts w:ascii="Times New Roman" w:cs="Times New Roman" w:hAnsi="Times New Roman"/>
          <w:sz w:val="24"/>
          <w:szCs w:val="24"/>
        </w:rPr>
        <w:t xml:space="preserve">, </w:t>
      </w:r>
      <w:r>
        <w:rPr>
          <w:rFonts w:ascii="Times New Roman" w:cs="Times New Roman" w:hAnsi="Times New Roman"/>
          <w:sz w:val="24"/>
          <w:szCs w:val="24"/>
        </w:rPr>
        <w:t xml:space="preserve">de </w:t>
      </w:r>
      <w:r>
        <w:rPr>
          <w:rFonts w:ascii="Times New Roman" w:cs="Times New Roman" w:hAnsi="Times New Roman"/>
          <w:sz w:val="24"/>
          <w:szCs w:val="24"/>
        </w:rPr>
        <w:t xml:space="preserve">Winter, and </w:t>
      </w:r>
      <w:r>
        <w:rPr>
          <w:rFonts w:ascii="Times New Roman" w:cs="Times New Roman" w:hAnsi="Times New Roman"/>
          <w:sz w:val="24"/>
          <w:szCs w:val="24"/>
        </w:rPr>
        <w:t>Kindermann</w:t>
      </w:r>
      <w:r>
        <w:rPr>
          <w:rFonts w:ascii="Times New Roman" w:cs="Times New Roman" w:hAnsi="Times New Roman"/>
          <w:sz w:val="24"/>
          <w:szCs w:val="24"/>
        </w:rPr>
        <w:t xml:space="preserve"> (2017), tube feeding may cause tube dependency on the patient. This is why as a pediatrician it is my duty to guide the family and the patient to adopt the oral feeding using tube weaning method (</w:t>
      </w:r>
      <w:r>
        <w:rPr>
          <w:rFonts w:ascii="Times New Roman" w:cs="Times New Roman" w:hAnsi="Times New Roman"/>
          <w:sz w:val="24"/>
          <w:szCs w:val="24"/>
        </w:rPr>
        <w:t>Krom</w:t>
      </w:r>
      <w:r>
        <w:rPr>
          <w:rFonts w:ascii="Times New Roman" w:cs="Times New Roman" w:hAnsi="Times New Roman"/>
          <w:sz w:val="24"/>
          <w:szCs w:val="24"/>
        </w:rPr>
        <w:t xml:space="preserve"> et al., 2017, Para#8). I would do this by encouraging the patient and train the family appropriately.</w:t>
      </w:r>
    </w:p>
    <w:p>
      <w:pPr>
        <w:pStyle w:val="style0"/>
        <w:spacing w:after="0" w:lineRule="auto" w:line="480"/>
        <w:ind w:left="360"/>
        <w:rPr>
          <w:rFonts w:ascii="Times New Roman" w:cs="Times New Roman" w:hAnsi="Times New Roman"/>
          <w:sz w:val="24"/>
          <w:szCs w:val="24"/>
        </w:rPr>
      </w:pPr>
      <w:r>
        <w:rPr>
          <w:rFonts w:ascii="Times New Roman" w:cs="Times New Roman" w:hAnsi="Times New Roman"/>
          <w:sz w:val="24"/>
          <w:szCs w:val="24"/>
        </w:rPr>
        <w:t>2.    Enteral nutrition is the process of providing and giving the needed requirement to a patient with oral aversions. On the other hand, parenteral nutrition is the process of giving and providing nutrients to a patient with a blocked gut. The enteral nutrition is given through tube feeding while parenteral nutrition asserted through the bloodstream. These two methods of treatment are crucial to providing the needed nutrition to the patient with an eating problem. However, the level of complication is a concern to the medical practitioner.</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Week 6</w:t>
      </w:r>
    </w:p>
    <w:p>
      <w:pPr>
        <w:pStyle w:val="style0"/>
        <w:spacing w:after="0" w:lineRule="auto" w:line="480"/>
        <w:ind w:left="36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similarity between</w:t>
      </w:r>
      <w:r>
        <w:rPr>
          <w:rFonts w:ascii="Times New Roman" w:cs="Times New Roman" w:hAnsi="Times New Roman"/>
          <w:sz w:val="24"/>
          <w:szCs w:val="24"/>
        </w:rPr>
        <w:t xml:space="preserve"> the </w:t>
      </w:r>
      <w:r>
        <w:rPr>
          <w:rFonts w:ascii="Times New Roman" w:cs="Times New Roman" w:hAnsi="Times New Roman"/>
          <w:sz w:val="24"/>
          <w:szCs w:val="24"/>
        </w:rPr>
        <w:t xml:space="preserve">two </w:t>
      </w:r>
      <w:r>
        <w:rPr>
          <w:rFonts w:ascii="Times New Roman" w:cs="Times New Roman" w:hAnsi="Times New Roman"/>
          <w:sz w:val="24"/>
          <w:szCs w:val="24"/>
        </w:rPr>
        <w:t>methods</w:t>
      </w:r>
      <w:r>
        <w:rPr>
          <w:rFonts w:ascii="Times New Roman" w:cs="Times New Roman" w:hAnsi="Times New Roman"/>
          <w:sz w:val="24"/>
          <w:szCs w:val="24"/>
        </w:rPr>
        <w:t xml:space="preserve"> of medicat</w:t>
      </w:r>
      <w:r>
        <w:rPr>
          <w:rFonts w:ascii="Times New Roman" w:cs="Times New Roman" w:hAnsi="Times New Roman"/>
          <w:sz w:val="24"/>
          <w:szCs w:val="24"/>
        </w:rPr>
        <w:t>ion of diabetes type 1 and 2 is</w:t>
      </w:r>
      <w:r>
        <w:rPr>
          <w:rFonts w:ascii="Times New Roman" w:cs="Times New Roman" w:hAnsi="Times New Roman"/>
          <w:sz w:val="24"/>
          <w:szCs w:val="24"/>
        </w:rPr>
        <w:t>;</w:t>
      </w:r>
      <w:r>
        <w:rPr>
          <w:rFonts w:ascii="Times New Roman" w:cs="Times New Roman" w:hAnsi="Times New Roman"/>
          <w:sz w:val="24"/>
          <w:szCs w:val="24"/>
        </w:rPr>
        <w:t xml:space="preserve"> they cause diarrhea, nausea and bloa</w:t>
      </w:r>
      <w:r>
        <w:rPr>
          <w:rFonts w:ascii="Times New Roman" w:cs="Times New Roman" w:hAnsi="Times New Roman"/>
          <w:sz w:val="24"/>
          <w:szCs w:val="24"/>
        </w:rPr>
        <w:t>ting</w:t>
      </w:r>
      <w:r>
        <w:rPr>
          <w:rFonts w:ascii="Times New Roman" w:cs="Times New Roman" w:hAnsi="Times New Roman"/>
          <w:sz w:val="24"/>
          <w:szCs w:val="24"/>
        </w:rPr>
        <w:t xml:space="preserve"> (</w:t>
      </w:r>
      <w:r>
        <w:rPr>
          <w:rFonts w:ascii="Times New Roman" w:cs="Times New Roman" w:hAnsi="Times New Roman"/>
          <w:sz w:val="24"/>
          <w:szCs w:val="24"/>
        </w:rPr>
        <w:t>Durning</w:t>
      </w:r>
      <w:r>
        <w:rPr>
          <w:rFonts w:ascii="Times New Roman" w:cs="Times New Roman" w:hAnsi="Times New Roman"/>
          <w:sz w:val="24"/>
          <w:szCs w:val="24"/>
        </w:rPr>
        <w:t>, 2017)</w:t>
      </w:r>
      <w:r>
        <w:rPr>
          <w:rFonts w:ascii="Times New Roman" w:cs="Times New Roman" w:hAnsi="Times New Roman"/>
          <w:sz w:val="24"/>
          <w:szCs w:val="24"/>
        </w:rPr>
        <w:t xml:space="preserve">. However, the difference </w:t>
      </w:r>
      <w:r>
        <w:rPr>
          <w:rFonts w:ascii="Times New Roman" w:cs="Times New Roman" w:hAnsi="Times New Roman"/>
          <w:sz w:val="24"/>
          <w:szCs w:val="24"/>
        </w:rPr>
        <w:t>is</w:t>
      </w:r>
      <w:r>
        <w:rPr>
          <w:rFonts w:ascii="Times New Roman" w:cs="Times New Roman" w:hAnsi="Times New Roman"/>
          <w:sz w:val="24"/>
          <w:szCs w:val="24"/>
        </w:rPr>
        <w:t>;</w:t>
      </w:r>
      <w:r>
        <w:rPr>
          <w:rFonts w:ascii="Times New Roman" w:cs="Times New Roman" w:hAnsi="Times New Roman"/>
          <w:sz w:val="24"/>
          <w:szCs w:val="24"/>
        </w:rPr>
        <w:t xml:space="preserve"> the oral medication treatment method encourages weight gain, unlike insulin injectable treatment that encourages weight loss</w:t>
      </w:r>
      <w:r>
        <w:rPr>
          <w:rFonts w:ascii="Times New Roman" w:cs="Times New Roman" w:hAnsi="Times New Roman"/>
          <w:sz w:val="24"/>
          <w:szCs w:val="24"/>
        </w:rPr>
        <w:t xml:space="preserve"> (</w:t>
      </w:r>
      <w:r>
        <w:rPr>
          <w:rFonts w:ascii="Times New Roman" w:cs="Times New Roman" w:hAnsi="Times New Roman"/>
          <w:sz w:val="24"/>
          <w:szCs w:val="24"/>
        </w:rPr>
        <w:t>Durning</w:t>
      </w:r>
      <w:r>
        <w:rPr>
          <w:rFonts w:ascii="Times New Roman" w:cs="Times New Roman" w:hAnsi="Times New Roman"/>
          <w:sz w:val="24"/>
          <w:szCs w:val="24"/>
        </w:rPr>
        <w:t>, 2017)</w:t>
      </w:r>
      <w:r>
        <w:rPr>
          <w:rFonts w:ascii="Times New Roman" w:cs="Times New Roman" w:hAnsi="Times New Roman"/>
          <w:sz w:val="24"/>
          <w:szCs w:val="24"/>
        </w:rPr>
        <w:t>. Therefore, the patient should be educated on the appropriate method to use.</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Week 7</w:t>
      </w:r>
    </w:p>
    <w:p>
      <w:pPr>
        <w:pStyle w:val="style0"/>
        <w:spacing w:after="0" w:lineRule="auto" w:line="480"/>
        <w:ind w:left="360"/>
        <w:rPr>
          <w:rFonts w:ascii="Times New Roman" w:cs="Times New Roman" w:hAnsi="Times New Roman"/>
          <w:sz w:val="24"/>
          <w:szCs w:val="24"/>
        </w:rPr>
      </w:pPr>
      <w:r>
        <w:rPr>
          <w:rFonts w:ascii="Times New Roman" w:cs="Times New Roman" w:hAnsi="Times New Roman"/>
          <w:sz w:val="24"/>
          <w:szCs w:val="24"/>
        </w:rPr>
        <w:t>The patients with renal problems are advised to avoid rich-protein food in their diet. The type of protein ensures that the body alleviates from uremic symptoms hence increasing the nutrition for the body.</w:t>
      </w:r>
      <w:r>
        <w:rPr>
          <w:rFonts w:ascii="Times New Roman" w:cs="Times New Roman" w:hAnsi="Times New Roman"/>
          <w:sz w:val="24"/>
          <w:szCs w:val="24"/>
        </w:rPr>
        <w:t xml:space="preserve"> Both patients are advised to take less amount of protein</w:t>
      </w:r>
      <w:r>
        <w:rPr>
          <w:rFonts w:ascii="Times New Roman" w:cs="Times New Roman" w:hAnsi="Times New Roman"/>
          <w:sz w:val="24"/>
          <w:szCs w:val="24"/>
        </w:rPr>
        <w:t>.</w:t>
      </w:r>
      <w:r>
        <w:rPr>
          <w:rFonts w:ascii="Times New Roman" w:cs="Times New Roman" w:hAnsi="Times New Roman"/>
          <w:sz w:val="24"/>
          <w:szCs w:val="24"/>
        </w:rPr>
        <w:t xml:space="preserve"> However, the level and amount is different.</w:t>
      </w:r>
      <w:r>
        <w:rPr>
          <w:rFonts w:ascii="Times New Roman" w:cs="Times New Roman" w:hAnsi="Times New Roman"/>
          <w:sz w:val="24"/>
          <w:szCs w:val="24"/>
        </w:rPr>
        <w:t xml:space="preserve"> </w:t>
      </w:r>
      <w:r>
        <w:rPr>
          <w:rFonts w:ascii="Times New Roman" w:cs="Times New Roman" w:hAnsi="Times New Roman"/>
          <w:sz w:val="24"/>
          <w:szCs w:val="24"/>
        </w:rPr>
        <w:t xml:space="preserve">According to </w:t>
      </w:r>
      <w:r>
        <w:rPr>
          <w:rFonts w:ascii="Times New Roman" w:cs="Times New Roman" w:hAnsi="Times New Roman"/>
          <w:sz w:val="24"/>
          <w:szCs w:val="24"/>
        </w:rPr>
        <w:t>Ko</w:t>
      </w:r>
      <w:r>
        <w:rPr>
          <w:rFonts w:ascii="Times New Roman" w:cs="Times New Roman" w:hAnsi="Times New Roman"/>
          <w:sz w:val="24"/>
          <w:szCs w:val="24"/>
        </w:rPr>
        <w:t xml:space="preserve">, Obi, </w:t>
      </w:r>
      <w:r>
        <w:rPr>
          <w:rFonts w:ascii="Times New Roman" w:cs="Times New Roman" w:hAnsi="Times New Roman"/>
          <w:sz w:val="24"/>
          <w:szCs w:val="24"/>
        </w:rPr>
        <w:t>Tortoricci</w:t>
      </w:r>
      <w:r>
        <w:rPr>
          <w:rFonts w:ascii="Times New Roman" w:cs="Times New Roman" w:hAnsi="Times New Roman"/>
          <w:sz w:val="24"/>
          <w:szCs w:val="24"/>
        </w:rPr>
        <w:t xml:space="preserve"> and </w:t>
      </w:r>
      <w:r>
        <w:rPr>
          <w:rFonts w:ascii="Times New Roman" w:cs="Times New Roman" w:hAnsi="Times New Roman"/>
          <w:sz w:val="24"/>
          <w:szCs w:val="24"/>
        </w:rPr>
        <w:t>Kalantar-Zadeh</w:t>
      </w:r>
      <w:r>
        <w:rPr>
          <w:rFonts w:ascii="Times New Roman" w:cs="Times New Roman" w:hAnsi="Times New Roman"/>
          <w:sz w:val="24"/>
          <w:szCs w:val="24"/>
        </w:rPr>
        <w:t xml:space="preserve"> (2017), </w:t>
      </w:r>
      <w:r>
        <w:rPr>
          <w:rFonts w:ascii="Times New Roman" w:cs="Times New Roman" w:hAnsi="Times New Roman"/>
          <w:sz w:val="24"/>
          <w:szCs w:val="24"/>
        </w:rPr>
        <w:t>t</w:t>
      </w:r>
      <w:r>
        <w:rPr>
          <w:rFonts w:ascii="Times New Roman" w:cs="Times New Roman" w:hAnsi="Times New Roman"/>
          <w:sz w:val="24"/>
          <w:szCs w:val="24"/>
        </w:rPr>
        <w:t>he chronic kidney disease patients’ are encoura</w:t>
      </w:r>
      <w:r>
        <w:rPr>
          <w:rFonts w:ascii="Times New Roman" w:cs="Times New Roman" w:hAnsi="Times New Roman"/>
          <w:sz w:val="24"/>
          <w:szCs w:val="24"/>
        </w:rPr>
        <w:t>ged to take 0.6-0.8 kg/g every day</w:t>
      </w:r>
      <w:r>
        <w:rPr>
          <w:rFonts w:ascii="Times New Roman" w:cs="Times New Roman" w:hAnsi="Times New Roman"/>
          <w:sz w:val="24"/>
          <w:szCs w:val="24"/>
        </w:rPr>
        <w:t>.</w:t>
      </w:r>
      <w:r>
        <w:rPr>
          <w:rFonts w:ascii="Times New Roman" w:cs="Times New Roman" w:hAnsi="Times New Roman"/>
          <w:sz w:val="24"/>
          <w:szCs w:val="24"/>
        </w:rPr>
        <w:t xml:space="preserve"> On the other, De Luis and Bustamante (2008) assert that the renal failure patients are recommended to take 0.8-1g/kg.  </w:t>
      </w:r>
    </w:p>
    <w:p>
      <w:pPr>
        <w:pStyle w:val="style0"/>
        <w:spacing w:after="0" w:lineRule="auto" w:line="480"/>
        <w:ind w:left="360"/>
        <w:rPr>
          <w:rFonts w:ascii="Times New Roman" w:cs="Times New Roman" w:hAnsi="Times New Roman"/>
          <w:sz w:val="24"/>
          <w:szCs w:val="24"/>
        </w:rPr>
      </w:pPr>
      <w:r>
        <w:rPr>
          <w:rFonts w:ascii="Times New Roman" w:cs="Times New Roman" w:hAnsi="Times New Roman"/>
          <w:sz w:val="24"/>
          <w:szCs w:val="24"/>
        </w:rPr>
        <w:t xml:space="preserve">Improving oral intake for patients with HIV/AIDS and cancer should be the focus to address the need to maintain food intake. The option is to provide </w:t>
      </w:r>
      <w:r>
        <w:rPr>
          <w:rFonts w:ascii="Times New Roman" w:cs="Times New Roman" w:hAnsi="Times New Roman"/>
          <w:sz w:val="24"/>
          <w:szCs w:val="24"/>
        </w:rPr>
        <w:t>counseling for patients to understand</w:t>
      </w:r>
      <w:r>
        <w:rPr>
          <w:rFonts w:ascii="Times New Roman" w:cs="Times New Roman" w:hAnsi="Times New Roman"/>
          <w:sz w:val="24"/>
          <w:szCs w:val="24"/>
        </w:rPr>
        <w:t xml:space="preserve"> the</w:t>
      </w:r>
      <w:r>
        <w:rPr>
          <w:rFonts w:ascii="Times New Roman" w:cs="Times New Roman" w:hAnsi="Times New Roman"/>
          <w:sz w:val="24"/>
          <w:szCs w:val="24"/>
        </w:rPr>
        <w:t xml:space="preserve"> importance of taking food through the mouth.</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Week 8</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I do not question any of the information in the video since the information is current and up to date because it conquers with reading heart diseases.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I have learned about the facts about heart diseases and its prevention methods.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The information from the video conquers with reading since its suggestion about the benefits of running to prevent heart-related diseases.</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Heart diseases are affected by obesity, high cholesterol level, and blood pressure.  </w:t>
      </w:r>
    </w:p>
    <w:p>
      <w:pPr>
        <w:pStyle w:val="style0"/>
        <w:spacing w:after="0" w:lineRule="auto" w:line="480"/>
        <w:ind w:left="360"/>
        <w:rPr>
          <w:rFonts w:ascii="Times New Roman" w:cs="Times New Roman" w:hAnsi="Times New Roman"/>
          <w:sz w:val="24"/>
          <w:szCs w:val="24"/>
        </w:rPr>
      </w:pPr>
    </w:p>
    <w:p>
      <w:pPr>
        <w:pStyle w:val="style0"/>
        <w:spacing w:after="0" w:lineRule="auto" w:line="480"/>
        <w:ind w:left="360"/>
        <w:rPr>
          <w:rFonts w:ascii="Times New Roman" w:cs="Times New Roman" w:hAnsi="Times New Roman"/>
          <w:sz w:val="24"/>
          <w:szCs w:val="24"/>
        </w:rPr>
      </w:pPr>
    </w:p>
    <w:p>
      <w:pPr>
        <w:pStyle w:val="style0"/>
        <w:spacing w:after="0" w:lineRule="auto" w:line="480"/>
        <w:ind w:left="36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ind w:left="36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Better Health Channel. (September, 2012). </w:t>
      </w:r>
      <w:r>
        <w:rPr>
          <w:rFonts w:ascii="Times New Roman" w:cs="Times New Roman" w:hAnsi="Times New Roman"/>
          <w:color w:val="222222"/>
          <w:sz w:val="24"/>
          <w:szCs w:val="24"/>
          <w:shd w:val="clear" w:color="auto" w:fill="ffffff"/>
        </w:rPr>
        <w:t>Food and your life stages.</w:t>
      </w:r>
      <w:r>
        <w:rPr>
          <w:rFonts w:ascii="Times New Roman" w:cs="Times New Roman" w:hAnsi="Times New Roman"/>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Better Health Channel</w:t>
      </w:r>
      <w:r>
        <w:rPr>
          <w:rFonts w:ascii="Times New Roman" w:cs="Times New Roman" w:hAnsi="Times New Roman"/>
          <w:color w:val="222222"/>
          <w:sz w:val="24"/>
          <w:szCs w:val="24"/>
          <w:shd w:val="clear" w:color="auto" w:fill="ffffff"/>
        </w:rPr>
        <w:t>. Retrieved from https://www.betterhealth.vic.gov.au/health/healthyliving/food-and-your-life-stages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De Luis, D., &amp; Bustamante, J. (2008).</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Nutritional aspects in renal failure.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Nefrologia</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28</w:t>
      </w:r>
      <w:r>
        <w:rPr>
          <w:rFonts w:ascii="Times New Roman" w:cs="Times New Roman" w:hAnsi="Times New Roman"/>
          <w:color w:val="222222"/>
          <w:sz w:val="24"/>
          <w:szCs w:val="24"/>
          <w:shd w:val="clear" w:color="auto" w:fill="ffffff"/>
        </w:rPr>
        <w:t>(3), 333-342.</w:t>
      </w:r>
      <w:r>
        <w:rPr>
          <w:rFonts w:ascii="Times New Roman" w:cs="Times New Roman" w:hAnsi="Times New Roman"/>
          <w:color w:val="222222"/>
          <w:sz w:val="24"/>
          <w:szCs w:val="24"/>
          <w:shd w:val="clear" w:color="auto" w:fill="ffffff"/>
        </w:rPr>
        <w:t xml:space="preserve"> Retrieved from </w:t>
      </w:r>
      <w:r>
        <w:rPr/>
        <w:fldChar w:fldCharType="begin"/>
      </w:r>
      <w:r>
        <w:instrText xml:space="preserve"> HYPERLINK "http://www.revistanefrologia.com/en-publicacion-nefrologia-articulo-nutritional-aspects-in-renal-failure-X2013251408005893" </w:instrText>
      </w:r>
      <w:r>
        <w:rPr/>
        <w:fldChar w:fldCharType="separate"/>
      </w:r>
      <w:r>
        <w:rPr>
          <w:rStyle w:val="style85"/>
          <w:rFonts w:ascii="Times New Roman" w:cs="Times New Roman" w:hAnsi="Times New Roman"/>
          <w:color w:val="auto"/>
          <w:sz w:val="24"/>
          <w:szCs w:val="24"/>
          <w:u w:val="none"/>
          <w:shd w:val="clear" w:color="auto" w:fill="ffffff"/>
        </w:rPr>
        <w:t>http://www.revistanefrologia.com/en-publicacion-nefrologia-articulo-nutritional-aspects-in-renal-failure-X2013251408005893</w:t>
      </w:r>
      <w:r>
        <w:rPr/>
        <w:fldChar w:fldCharType="end"/>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Durning</w:t>
      </w:r>
      <w:r>
        <w:rPr>
          <w:rFonts w:ascii="Times New Roman" w:cs="Times New Roman" w:hAnsi="Times New Roman"/>
          <w:color w:val="222222"/>
          <w:sz w:val="24"/>
          <w:szCs w:val="24"/>
          <w:shd w:val="clear" w:color="auto" w:fill="ffffff"/>
        </w:rPr>
        <w:t xml:space="preserve">, V, M (December 8, 2017). </w:t>
      </w:r>
      <w:r>
        <w:rPr>
          <w:rFonts w:ascii="Times New Roman" w:cs="Times New Roman" w:hAnsi="Times New Roman"/>
          <w:color w:val="222222"/>
          <w:sz w:val="24"/>
          <w:szCs w:val="24"/>
          <w:shd w:val="clear" w:color="auto" w:fill="ffffff"/>
        </w:rPr>
        <w:t xml:space="preserve">Differences between Oral Medication and </w:t>
      </w:r>
      <w:r>
        <w:rPr>
          <w:rFonts w:ascii="Times New Roman" w:cs="Times New Roman" w:hAnsi="Times New Roman"/>
          <w:color w:val="222222"/>
          <w:sz w:val="24"/>
          <w:szCs w:val="24"/>
          <w:shd w:val="clear" w:color="auto" w:fill="ffffff"/>
        </w:rPr>
        <w:t>Injectbales</w:t>
      </w:r>
      <w:r>
        <w:rPr>
          <w:rFonts w:ascii="Times New Roman" w:cs="Times New Roman" w:hAnsi="Times New Roman"/>
          <w:color w:val="222222"/>
          <w:sz w:val="24"/>
          <w:szCs w:val="24"/>
          <w:shd w:val="clear" w:color="auto" w:fill="ffffff"/>
        </w:rPr>
        <w:t xml:space="preserve"> for Diabetes.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Health Grade.</w:t>
      </w:r>
      <w:r>
        <w:rPr>
          <w:rFonts w:ascii="Times New Roman" w:cs="Times New Roman" w:hAnsi="Times New Roman"/>
          <w:color w:val="222222"/>
          <w:sz w:val="24"/>
          <w:szCs w:val="24"/>
          <w:shd w:val="clear" w:color="auto" w:fill="ffffff"/>
        </w:rPr>
        <w:t xml:space="preserve"> Retrieved from https://healthguides.healthgrades.com/your-guide-to-treating-diabetes/differences-between-oral-medication-and-injectables-for-diabetes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Ko</w:t>
      </w:r>
      <w:r>
        <w:rPr>
          <w:rFonts w:ascii="Times New Roman" w:cs="Times New Roman" w:hAnsi="Times New Roman"/>
          <w:color w:val="222222"/>
          <w:sz w:val="24"/>
          <w:szCs w:val="24"/>
          <w:shd w:val="clear" w:color="auto" w:fill="ffffff"/>
        </w:rPr>
        <w:t xml:space="preserve">, G. J., Obi, Y., </w:t>
      </w:r>
      <w:r>
        <w:rPr>
          <w:rFonts w:ascii="Times New Roman" w:cs="Times New Roman" w:hAnsi="Times New Roman"/>
          <w:color w:val="222222"/>
          <w:sz w:val="24"/>
          <w:szCs w:val="24"/>
          <w:shd w:val="clear" w:color="auto" w:fill="ffffff"/>
        </w:rPr>
        <w:t>Tortoricci</w:t>
      </w:r>
      <w:r>
        <w:rPr>
          <w:rFonts w:ascii="Times New Roman" w:cs="Times New Roman" w:hAnsi="Times New Roman"/>
          <w:color w:val="222222"/>
          <w:sz w:val="24"/>
          <w:szCs w:val="24"/>
          <w:shd w:val="clear" w:color="auto" w:fill="ffffff"/>
        </w:rPr>
        <w:t xml:space="preserve">, A. R., &amp; </w:t>
      </w:r>
      <w:r>
        <w:rPr>
          <w:rFonts w:ascii="Times New Roman" w:cs="Times New Roman" w:hAnsi="Times New Roman"/>
          <w:color w:val="222222"/>
          <w:sz w:val="24"/>
          <w:szCs w:val="24"/>
          <w:shd w:val="clear" w:color="auto" w:fill="ffffff"/>
        </w:rPr>
        <w:t>Kalantar-Zadeh</w:t>
      </w:r>
      <w:r>
        <w:rPr>
          <w:rFonts w:ascii="Times New Roman" w:cs="Times New Roman" w:hAnsi="Times New Roman"/>
          <w:color w:val="222222"/>
          <w:sz w:val="24"/>
          <w:szCs w:val="24"/>
          <w:shd w:val="clear" w:color="auto" w:fill="ffffff"/>
        </w:rPr>
        <w:t xml:space="preserve">, K. (2017). </w:t>
      </w:r>
      <w:r>
        <w:rPr>
          <w:rFonts w:ascii="Times New Roman" w:cs="Times New Roman" w:hAnsi="Times New Roman"/>
          <w:color w:val="222222"/>
          <w:sz w:val="24"/>
          <w:szCs w:val="24"/>
          <w:shd w:val="clear" w:color="auto" w:fill="ffffff"/>
        </w:rPr>
        <w:t>Dietary protein intake and chronic kidney disease.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Current opinion in clinical nutrition and metabolic care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w:t>
      </w:r>
      <w:r>
        <w:rPr>
          <w:rFonts w:ascii="Times New Roman" w:cs="Times New Roman" w:hAnsi="Times New Roman"/>
          <w:color w:val="222222"/>
          <w:sz w:val="24"/>
          <w:szCs w:val="24"/>
          <w:shd w:val="clear" w:color="auto" w:fill="ffffff"/>
        </w:rPr>
        <w:t>(1), 77.</w:t>
      </w:r>
      <w:r>
        <w:rPr>
          <w:rFonts w:ascii="Times New Roman" w:cs="Times New Roman" w:hAnsi="Times New Roman"/>
          <w:color w:val="222222"/>
          <w:sz w:val="24"/>
          <w:szCs w:val="24"/>
          <w:shd w:val="clear" w:color="auto" w:fill="ffffff"/>
        </w:rPr>
        <w:t xml:space="preserve"> Retrieved fromhttps://www.ncbi.nlm.nih.gov/pmc/articles/PMC5962279/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Krom</w:t>
      </w:r>
      <w:r>
        <w:rPr>
          <w:rFonts w:ascii="Times New Roman" w:cs="Times New Roman" w:hAnsi="Times New Roman"/>
          <w:color w:val="222222"/>
          <w:sz w:val="24"/>
          <w:szCs w:val="24"/>
          <w:shd w:val="clear" w:color="auto" w:fill="ffffff"/>
        </w:rPr>
        <w:t xml:space="preserve">, H., de Winter, J. P., &amp; </w:t>
      </w:r>
      <w:r>
        <w:rPr>
          <w:rFonts w:ascii="Times New Roman" w:cs="Times New Roman" w:hAnsi="Times New Roman"/>
          <w:color w:val="222222"/>
          <w:sz w:val="24"/>
          <w:szCs w:val="24"/>
          <w:shd w:val="clear" w:color="auto" w:fill="ffffff"/>
        </w:rPr>
        <w:t>Kindermann</w:t>
      </w:r>
      <w:r>
        <w:rPr>
          <w:rFonts w:ascii="Times New Roman" w:cs="Times New Roman" w:hAnsi="Times New Roman"/>
          <w:color w:val="222222"/>
          <w:sz w:val="24"/>
          <w:szCs w:val="24"/>
          <w:shd w:val="clear" w:color="auto" w:fill="ffffff"/>
        </w:rPr>
        <w:t>, A. (2017).</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Development, prevention, and treatment of feeding tube dependency.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European journal of pediatrics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176</w:t>
      </w:r>
      <w:r>
        <w:rPr>
          <w:rFonts w:ascii="Times New Roman" w:cs="Times New Roman" w:hAnsi="Times New Roman"/>
          <w:color w:val="222222"/>
          <w:sz w:val="24"/>
          <w:szCs w:val="24"/>
          <w:shd w:val="clear" w:color="auto" w:fill="ffffff"/>
        </w:rPr>
        <w:t>(6), 683-688.</w:t>
      </w:r>
      <w:r>
        <w:rPr>
          <w:rFonts w:ascii="Times New Roman" w:cs="Times New Roman" w:hAnsi="Times New Roman"/>
          <w:color w:val="222222"/>
          <w:sz w:val="24"/>
          <w:szCs w:val="24"/>
          <w:shd w:val="clear" w:color="auto" w:fill="ffffff"/>
        </w:rPr>
        <w:t xml:space="preserve"> Retrieved from</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https://www.ncbi.nlm.nih.gov/pmc/articles/PMC5432583/ </w:t>
      </w:r>
    </w:p>
    <w:bookmarkStart w:id="0" w:name="_GoBack"/>
    <w:bookmarkEnd w:id="0"/>
    <w:p>
      <w:pPr>
        <w:pStyle w:val="style0"/>
        <w:spacing w:after="0" w:lineRule="auto" w:line="480"/>
        <w:ind w:left="36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DISCUSSION POST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DISCUSSION POSTS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440D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61E2A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A35A2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1C2E9B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218e2407-489b-41b5-901f-de83bd1c8686"/>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cb51c3ab-c99f-486a-b006-c4701c837140"/>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3c069153-4981-4233-b944-d6509ec116f7"/>
    <w:basedOn w:val="style65"/>
    <w:next w:val="style4099"/>
    <w:link w:val="style3"/>
    <w:uiPriority w:val="9"/>
    <w:rPr>
      <w:rFonts w:ascii="Cambria" w:cs="宋体" w:eastAsia="宋体" w:hAnsi="Cambria"/>
      <w:b/>
      <w:bCs/>
      <w:color w:val="4f81bd"/>
    </w:rPr>
  </w:style>
  <w:style w:type="character" w:customStyle="1" w:styleId="style4100">
    <w:name w:val="Heading 4 Char_cc7ad089-8cea-42a0-8f73-24185d24d297"/>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c601fc46-2881-4dad-9105-766e7ab9c0df"/>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3a66b5ad-6c80-415f-a08b-fb75a8876713"/>
    <w:basedOn w:val="style65"/>
    <w:next w:val="style4102"/>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877</Words>
  <Pages>1</Pages>
  <Characters>5022</Characters>
  <Application>WPS Office</Application>
  <DocSecurity>0</DocSecurity>
  <Paragraphs>61</Paragraphs>
  <ScaleCrop>false</ScaleCrop>
  <LinksUpToDate>false</LinksUpToDate>
  <CharactersWithSpaces>5894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2018-11-09T06:01:15Z</dcterms:created>
  <dc:creator>Hp</dc:creator>
  <lastModifiedBy>TA-1021</lastModifiedBy>
  <dcterms:modified xsi:type="dcterms:W3CDTF">2018-11-09T06:01:15Z</dcterms:modified>
  <revision>3</revision>
</coreProperties>
</file>

<file path=docProps/custom.xml><?xml version="1.0" encoding="utf-8"?>
<Properties xmlns="http://schemas.openxmlformats.org/officeDocument/2006/custom-properties" xmlns:vt="http://schemas.openxmlformats.org/officeDocument/2006/docPropsVTypes"/>
</file>